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24537F" w:rsidRPr="001D5196" w:rsidTr="00274723">
        <w:trPr>
          <w:trHeight w:val="251"/>
        </w:trPr>
        <w:tc>
          <w:tcPr>
            <w:tcW w:w="816" w:type="dxa"/>
            <w:vMerge w:val="restart"/>
          </w:tcPr>
          <w:p w:rsidR="0024537F" w:rsidRPr="00347E76" w:rsidRDefault="00347E76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Специалист по оказанию медицинской помощи взрослому населению по профилю «эндокринология»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(8 уровень квалификации)</w:t>
            </w:r>
          </w:p>
        </w:tc>
        <w:tc>
          <w:tcPr>
            <w:tcW w:w="1452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«Врач-эндокринолог»</w:t>
            </w:r>
          </w:p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14.03.2018 N 132н</w:t>
            </w:r>
          </w:p>
        </w:tc>
        <w:tc>
          <w:tcPr>
            <w:tcW w:w="710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/01.8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1984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«Эндокринология ».</w:t>
            </w:r>
          </w:p>
          <w:p w:rsidR="0024537F" w:rsidRPr="001D5196" w:rsidRDefault="0024537F" w:rsidP="00274723">
            <w:pPr>
              <w:pStyle w:val="af3"/>
              <w:rPr>
                <w:sz w:val="18"/>
                <w:szCs w:val="18"/>
              </w:rPr>
            </w:pPr>
            <w:r w:rsidRPr="001D5196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«Эндокринология ».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eastAsia="ru-RU"/>
              </w:rPr>
              <w:t>Врач-эндокринолог</w:t>
            </w: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/02.8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Назначение лечения пациентам с заболеваниями и (или) состояниями эндокринной системы</w:t>
            </w:r>
            <w:r w:rsidRPr="001D519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контроль его эффективности и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/03.8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абилитации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медицинских освидетельствований и медицинских экспертиз, медицинских осмотров в отношении пациентов с заболеваниями и (или) состояниями эндокринной системы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/05.8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/06.8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/07.8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380FA4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481AFD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47E76"/>
    <w:rsid w:val="003528FD"/>
    <w:rsid w:val="00352B6B"/>
    <w:rsid w:val="0037559D"/>
    <w:rsid w:val="00380FA4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1AFD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231F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FE769-E032-4959-8E1A-41288E0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2024-02-14T11:07:00Z</dcterms:modified>
</cp:coreProperties>
</file>