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BA5" w:rsidRPr="00500B14" w:rsidRDefault="00542BA5" w:rsidP="00542BA5">
      <w:pPr>
        <w:jc w:val="center"/>
        <w:rPr>
          <w:rFonts w:ascii="Calibri" w:hAnsi="Calibri" w:cs="Calibri"/>
          <w:b/>
          <w:sz w:val="24"/>
          <w:szCs w:val="24"/>
        </w:rPr>
      </w:pPr>
      <w:r w:rsidRPr="00500B14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508D8BB8" wp14:editId="6135EF94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B14">
        <w:rPr>
          <w:rFonts w:ascii="Calibri" w:hAnsi="Calibri" w:cs="Calibri"/>
          <w:b/>
          <w:sz w:val="24"/>
          <w:szCs w:val="24"/>
        </w:rPr>
        <w:t xml:space="preserve"> </w:t>
      </w:r>
    </w:p>
    <w:p w:rsidR="00542BA5" w:rsidRPr="00500B14" w:rsidRDefault="00542BA5" w:rsidP="00542BA5">
      <w:pPr>
        <w:jc w:val="center"/>
        <w:rPr>
          <w:rFonts w:ascii="Calibri" w:hAnsi="Calibri" w:cs="Calibri"/>
          <w:b/>
          <w:sz w:val="24"/>
          <w:szCs w:val="24"/>
        </w:rPr>
      </w:pPr>
    </w:p>
    <w:p w:rsidR="00542BA5" w:rsidRPr="00500B14" w:rsidRDefault="00542BA5" w:rsidP="00542BA5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500B14">
        <w:rPr>
          <w:rFonts w:ascii="Calibri" w:hAnsi="Calibri" w:cs="Calibri"/>
          <w:b/>
          <w:color w:val="FF0000"/>
          <w:sz w:val="24"/>
          <w:szCs w:val="24"/>
        </w:rPr>
        <w:t>ИНФОРМАЦИОННЫЙ ДАЙДЖЕСТ</w:t>
      </w:r>
    </w:p>
    <w:p w:rsidR="00542BA5" w:rsidRPr="00500B14" w:rsidRDefault="00542BA5" w:rsidP="00542BA5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500B14">
        <w:rPr>
          <w:rFonts w:ascii="Calibri" w:hAnsi="Calibri" w:cs="Calibri"/>
          <w:b/>
          <w:color w:val="FF0000"/>
          <w:sz w:val="24"/>
          <w:szCs w:val="24"/>
        </w:rPr>
        <w:t xml:space="preserve">(период с </w:t>
      </w:r>
      <w:r>
        <w:rPr>
          <w:rFonts w:ascii="Calibri" w:hAnsi="Calibri" w:cs="Calibri"/>
          <w:b/>
          <w:color w:val="FF0000"/>
          <w:sz w:val="24"/>
          <w:szCs w:val="24"/>
        </w:rPr>
        <w:t>22</w:t>
      </w:r>
      <w:r w:rsidRPr="00500B14">
        <w:rPr>
          <w:rFonts w:ascii="Calibri" w:hAnsi="Calibri" w:cs="Calibri"/>
          <w:b/>
          <w:color w:val="FF0000"/>
          <w:sz w:val="24"/>
          <w:szCs w:val="24"/>
        </w:rPr>
        <w:t xml:space="preserve">  по </w:t>
      </w:r>
      <w:r>
        <w:rPr>
          <w:rFonts w:ascii="Calibri" w:hAnsi="Calibri" w:cs="Calibri"/>
          <w:b/>
          <w:color w:val="FF0000"/>
          <w:sz w:val="24"/>
          <w:szCs w:val="24"/>
        </w:rPr>
        <w:t>28</w:t>
      </w:r>
      <w:bookmarkStart w:id="0" w:name="_GoBack"/>
      <w:bookmarkEnd w:id="0"/>
      <w:r w:rsidRPr="00500B14">
        <w:rPr>
          <w:rFonts w:ascii="Calibri" w:hAnsi="Calibri" w:cs="Calibri"/>
          <w:b/>
          <w:color w:val="FF0000"/>
          <w:sz w:val="24"/>
          <w:szCs w:val="24"/>
        </w:rPr>
        <w:t xml:space="preserve"> июня 2026 года)</w:t>
      </w:r>
    </w:p>
    <w:p w:rsidR="00542BA5" w:rsidRDefault="00542BA5" w:rsidP="00542BA5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542BA5" w:rsidRPr="00542BA5" w:rsidRDefault="00542BA5" w:rsidP="00542BA5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542BA5">
        <w:rPr>
          <w:rFonts w:ascii="Calibri" w:hAnsi="Calibri" w:cs="Calibri"/>
          <w:b/>
          <w:color w:val="FF0000"/>
          <w:sz w:val="24"/>
          <w:szCs w:val="24"/>
        </w:rPr>
        <w:t>ПРАВИТЕЛЬСТВО/СФ/ГД</w:t>
      </w:r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>Путин обсудил с правительством старт программы наставничества. Главное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Президент РФ Владимир Путин на совещании с членами правительства обсудил запуск программы наставничества для выпускников медицинских вузов и колледжей. Глава государства поручил ведомствам организовать мониторинг реализации новой системы, а Минздраву – обеспечить методическую поддержку регионов. Участники совещания также представили данные о развитии целевого обучения, подготовке медицинских кадров и региональном опыте закрепления молодых специалистов в отрасли.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Открывая совещание, Владимир Путин подчеркнул, что внедрение наставничества не предполагает возврата к практике обязательного распределения выпускников. По его словам, молодые специалисты по-прежнему самостоятельно выбирают место работы, а единственным условием является участие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в программе государственных гарантий оказания бесплатной медицинской помощи.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Президент заявил, что новая система не должна превратиться в формальность или привести к дополнительной бюрократической нагрузке на медработников. В связи с этим он поручил комиссии Госсовета по направлению «Продолжительная и активная жизнь», Общероссийскому народному фронту и Национальной медицинской палате организовать постоянный мониторинг внедрения наставничества на местах: «Нужно быть на связи с молодыми специалистами и их наставниками, собирать, анализировать их замечания и предложения».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Кроме того, глава государства поставил перед Минздравом задачу обобщать лучшие региональные практики и обеспечивать их распространение среди больниц, поликлиник, фельдшерско-акушерских пунктов и станций скорой помощи. Отдельное внимание, по словам президента, необходимо уделить взаимодействию с регионами, образовательными и медицинскими организациями.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О целевом обучении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lastRenderedPageBreak/>
        <w:t>Министр науки и высшего образования Валерий Фальков сообщил, что в 2026 году основным способом подачи документов для поступления стал сервис «Поступление в вуз онлайн». По его словам, для абитуриентов предусмотрено 620,5 тысячи бюджетных мест, из которых 73% распределены между региональными вузами.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Отдельно министр остановился на развитии целевого обучения. По его данным, на целевой прием в 2026/2027 учебном году выделено более 83,1 тысячи мест, причем наибольшая их часть традиционно приходится на медицинские специальности.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Фальков также рассказал о расширении пилотного проекта по переходу на новую систему высшего образования. В эксперимент были дополнительно включены 11 университетов, процесс полного перехода планируется завершить в течение ближайших трех лет, а предельным сроком Фальков назвал 2030 год. В «пилоте» </w:t>
      </w:r>
      <w:hyperlink r:id="rId6" w:history="1">
        <w:r w:rsidRPr="00542BA5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участвует</w:t>
        </w:r>
      </w:hyperlink>
      <w:r w:rsidRPr="00542BA5">
        <w:rPr>
          <w:rFonts w:ascii="Calibri" w:hAnsi="Calibri" w:cs="Calibri"/>
          <w:spacing w:val="-5"/>
          <w:sz w:val="24"/>
          <w:szCs w:val="24"/>
        </w:rPr>
        <w:t> один медицинский вуз – РНИМУ им. Н.И. Пирогова.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По словам министра труда и социальной защиты Антона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Котякова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, уровень молодежной безработицы с 2020 года снизился более чем в два раза – с 17% до 7,5%. Уровень трудоустройства выпускников вузов 2024 года, по его данным, уже превышает 81%, тогда как для выпуска в 2019 году это значение было на отметке менее 72%.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Глава Минтруда отдельно обратил внимание на роль медицинских организаций в системе целевого обучения. По его словам, более 40% целевой квоты приходится именно на учреждения здравоохранения, что делает этот механизм одним из «наиболее эффективных инструментов формирования кадрового резерва на среднесрочную перспективу, в том числе и по проектам технологического лидерства».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О развитии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медобразования</w:t>
      </w:r>
      <w:proofErr w:type="spellEnd"/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Министр здравоохранения РФ Михаил Мурашко заявил, что системе здравоохранения удалось преодолеть многолетнюю тенденцию к сокращению численности медицинских работников. По его словам, с 2020 года прием на программы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вырос на 43,5%, в ординатуру – на 30%, а на программы среднего профессионального образования – на 49%.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Мурашко также сообщил, что в 2026 году за счет бюджетных средств планируется принять более 83 тысяч студентов на программы СПО, свыше 35 тысяч человек – на программы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и около 20 тысяч – в ординатуру. Большинство студентов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и около 80% ординаторов будут обучаться по целевым договорам.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По словам главы ведомства, за последние пять лет число выпускников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увеличилось на 15%, а ординатуры – на 35%.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«В 2026 году в отрасль придут практически 230 тысяч специалистов уже в ближайшие месяцы – это 155 тысяч выпускников средних профессиональных учебных заведений, почти 50 тысяч выпускников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– врачи – и 30 тысяч специалистов ординатуры», – отметил Мурашко.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lastRenderedPageBreak/>
        <w:t>Глава ведомства напомнил, что </w:t>
      </w:r>
      <w:hyperlink r:id="rId7" w:history="1">
        <w:r w:rsidRPr="00542BA5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вступивший</w:t>
        </w:r>
      </w:hyperlink>
      <w:r w:rsidRPr="00542BA5">
        <w:rPr>
          <w:rFonts w:ascii="Calibri" w:hAnsi="Calibri" w:cs="Calibri"/>
          <w:spacing w:val="-5"/>
          <w:sz w:val="24"/>
          <w:szCs w:val="24"/>
        </w:rPr>
        <w:t xml:space="preserve"> в силу федеральный закон о наставничестве сделал сопровождение молодых специалистов обязательным для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медорганизаций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, участвующих в системе госгарантий и выступающих заказчиками целевого обучения. По его словам, регионы должны назначить ответственных за развитие наставничества, создать горячую линию и контактные центры, определить перечень организаций – участников программы, а также обеспечить систему мотивации наставников. Контроль исполнения этих мероприятий Минздрав начнет с октября 2026 года.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Опыт регионов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Губернатор Ивановской области Станислав Воскресенский рассказал, что за последние пять лет число выпускников, оставшихся работать в регионе, выросло более чем в полтора раза по сравнению с предыдущей пятилеткой. По его словам, значительную роль в этом сыграло целевое обучение: среди выпускников его доля достигает 70%, а среди первокурсников уже превышает 80%. Кроме того, глава региона обратил внимание на необходимость адаптации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медобразования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к развитию искусственного интеллекта и других современных технологий, отметив, что молодые специалисты в этой сфере нередко становятся «наставниками» для более опытных коллег.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Врио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губернатора Тверской области Виталий Королев сообщил, что благодаря мерам поддержки за последние пять лет в систему здравоохранения региона удалось привлечь дополнительно 180 специалистов, а кадровый дефицит с начала 2026 года сократился на 9%. В области уже определены наставники для всех ожидаемых выпускников медицинских вузов и колледжей. Всего в программе будут участвовать 1,2 тысячи врачей, которым предусмотрены дополнительные выплаты в размере 5 тысяч рублей ежемесячно.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Губернатор Челябинской области Алексей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Текслер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рассказал, что регион планирует трудоустроить более 2,5 тысячи молодых специалистов, включая 942 выпускников вузов и 1 683 выпускников колледжей. Для каждого из них уже назначен персональный наставник. По словам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Текслера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, область также развивает сотрудничество с Южно-Уральским ГМУ и создает новые молодежные лаборатории, включая площадку по направлению искусственного интеллекта в здравоохранении.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Губернатор Архангельской области Александр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Цыбульский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сообщил, что в регионе наставничество станет обязательным элементом профессионального старта для 449 выпускников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медуниверситета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и 769 выпускников организаций СПО. Для будущих наставников уже организована специальная программа подготовки «Школа наставника в сфере здравоохранения». Кроме того, регион предоставляет молодым врачам подъемные выплаты в размере 500 тысяч рублей, среднему медперсоналу – 300 тысяч рублей, а также компенсирует расходы на аренду жилья до 20 тысяч рублей ежемесячно.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Модель полного перехода на целевой прием в ординатуре </w:t>
      </w:r>
      <w:hyperlink r:id="rId8" w:history="1">
        <w:r w:rsidRPr="00542BA5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закреплена</w:t>
        </w:r>
      </w:hyperlink>
      <w:r w:rsidRPr="00542BA5">
        <w:rPr>
          <w:rFonts w:ascii="Calibri" w:hAnsi="Calibri" w:cs="Calibri"/>
          <w:spacing w:val="-5"/>
          <w:sz w:val="24"/>
          <w:szCs w:val="24"/>
        </w:rPr>
        <w:t xml:space="preserve"> в ноябре 2025 года – соответствующий закон подписал Владимир Путин. Тенденция к перераспределению бюджетных мест в пользу целевого приема усиливается и на направлениях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: анализ количественных показателей приема в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медвузы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показывает, что в 2025/26 учебном </w:t>
      </w:r>
      <w:r w:rsidRPr="00542BA5">
        <w:rPr>
          <w:rFonts w:ascii="Calibri" w:hAnsi="Calibri" w:cs="Calibri"/>
          <w:spacing w:val="-5"/>
          <w:sz w:val="24"/>
          <w:szCs w:val="24"/>
        </w:rPr>
        <w:lastRenderedPageBreak/>
        <w:t xml:space="preserve">году суммарная доля целевых мест по программам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специалитета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уже превышала две трети (в среднем около 68–70%) набора, а к 2026/2027 году приблизилась к 75–77%. В том, как и почему меняется модель зачисления в высшую медицинскую школу, </w:t>
      </w:r>
      <w:hyperlink r:id="rId9" w:history="1">
        <w:r w:rsidRPr="00542BA5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разбирался</w:t>
        </w:r>
      </w:hyperlink>
      <w:r w:rsidRPr="00542BA5">
        <w:rPr>
          <w:rFonts w:ascii="Calibri" w:hAnsi="Calibri" w:cs="Calibri"/>
          <w:spacing w:val="-5"/>
          <w:sz w:val="24"/>
          <w:szCs w:val="24"/>
        </w:rPr>
        <w:t> 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Vademecum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Style w:val="a4"/>
          <w:rFonts w:ascii="Calibri" w:hAnsi="Calibri" w:cs="Calibri"/>
          <w:sz w:val="24"/>
          <w:szCs w:val="24"/>
        </w:rPr>
      </w:pPr>
      <w:hyperlink r:id="rId10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https://vademec.ru/news/2026/06/24/putin-obsudil-s-pravitelstvom-start-programmy-nastavnichestva-glavnoe/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>Владимир Путин призвал не перегружать врачей-наставников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Президент РФ Владимир Путин заявил, что дополнительные обязанности по наставничеству в отношении молодых специалистов не должны приводить к перегрузкам медицинских работников. В то же время эта практика не должна превращаться в формальность.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специалистов, </w:t>
      </w:r>
      <w:hyperlink r:id="rId11" w:tgtFrame="_blank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заявил</w:t>
        </w:r>
      </w:hyperlink>
      <w:r w:rsidRPr="00542BA5">
        <w:rPr>
          <w:rFonts w:ascii="Calibri" w:hAnsi="Calibri" w:cs="Calibri"/>
          <w:sz w:val="24"/>
          <w:szCs w:val="24"/>
        </w:rPr>
        <w:t> президент РФ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</w:rPr>
        <w:t>Владимир Путин</w:t>
      </w:r>
      <w:r w:rsidRPr="00542BA5">
        <w:rPr>
          <w:rFonts w:ascii="Calibri" w:hAnsi="Calibri" w:cs="Calibri"/>
          <w:sz w:val="24"/>
          <w:szCs w:val="24"/>
        </w:rPr>
        <w:t xml:space="preserve"> на совещании с членами </w:t>
      </w:r>
      <w:proofErr w:type="spellStart"/>
      <w:r w:rsidRPr="00542BA5">
        <w:rPr>
          <w:rFonts w:ascii="Calibri" w:hAnsi="Calibri" w:cs="Calibri"/>
          <w:sz w:val="24"/>
          <w:szCs w:val="24"/>
        </w:rPr>
        <w:t>кабмина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23 июня.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«Нельзя допустить, чтобы программа наставничества работала формально или с большими перегрузками для медработников, в том числе из-за необоснованного увеличения бюрократической нагрузки. Все это может обесценить сам смысл принятых решений. Подчеркну: речь не идет о распределении в прямом смысле слова, как это было еще в советские времена. Для старта своей карьеры выпускник сам выбирает медицинское учреждение. Главное, чтобы организация участвовала в Программе государственных гарантий оказания бесплатной медицинской помощи», — подчеркнул глава государства.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Он </w:t>
      </w:r>
      <w:hyperlink r:id="rId12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попросил</w:t>
        </w:r>
      </w:hyperlink>
      <w:r w:rsidRPr="00542BA5">
        <w:rPr>
          <w:rFonts w:ascii="Calibri" w:hAnsi="Calibri" w:cs="Calibri"/>
          <w:sz w:val="24"/>
          <w:szCs w:val="24"/>
        </w:rPr>
        <w:t xml:space="preserve"> Общероссийский народный фронт совместно с Национальной медицинской палатой организовать мониторинг реализации программы на местах, быть на связи с молодыми специалистами и их наставниками, собирать, анализировать их замечания и предложения. Минздрав РФ должен обобщать лучшие практики наставничества и доводить их до больниц, поликлиник, фельдшерско-акушерских пунктов, станций скорой помощи. Особое внимание следует обратить на взаимодействие с субъектами и с образовательными и </w:t>
      </w:r>
      <w:proofErr w:type="spellStart"/>
      <w:r w:rsidRPr="00542BA5">
        <w:rPr>
          <w:rFonts w:ascii="Calibri" w:hAnsi="Calibri" w:cs="Calibri"/>
          <w:sz w:val="24"/>
          <w:szCs w:val="24"/>
        </w:rPr>
        <w:t>медорганизациями</w:t>
      </w:r>
      <w:proofErr w:type="spellEnd"/>
      <w:r w:rsidRPr="00542BA5">
        <w:rPr>
          <w:rFonts w:ascii="Calibri" w:hAnsi="Calibri" w:cs="Calibri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В начале июня региональные </w:t>
      </w:r>
      <w:proofErr w:type="spellStart"/>
      <w:r w:rsidRPr="00542BA5">
        <w:rPr>
          <w:rFonts w:ascii="Calibri" w:hAnsi="Calibri" w:cs="Calibri"/>
          <w:sz w:val="24"/>
          <w:szCs w:val="24"/>
        </w:rPr>
        <w:t>минздравы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начали публиковать на сайтах списки </w:t>
      </w:r>
      <w:proofErr w:type="spellStart"/>
      <w:r w:rsidRPr="00542BA5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542BA5">
        <w:rPr>
          <w:rFonts w:ascii="Calibri" w:hAnsi="Calibri" w:cs="Calibri"/>
          <w:sz w:val="24"/>
          <w:szCs w:val="24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 </w:t>
      </w:r>
      <w:hyperlink r:id="rId13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писал</w:t>
        </w:r>
      </w:hyperlink>
      <w:r w:rsidRPr="00542BA5">
        <w:rPr>
          <w:rFonts w:ascii="Calibri" w:hAnsi="Calibri" w:cs="Calibri"/>
          <w:sz w:val="24"/>
          <w:szCs w:val="24"/>
        </w:rPr>
        <w:t> «МВ».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Предполагается, что выпускники </w:t>
      </w:r>
      <w:proofErr w:type="spellStart"/>
      <w:r w:rsidRPr="00542BA5">
        <w:rPr>
          <w:rFonts w:ascii="Calibri" w:hAnsi="Calibri" w:cs="Calibri"/>
          <w:sz w:val="24"/>
          <w:szCs w:val="24"/>
        </w:rPr>
        <w:t>медвузов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и колледжей еще до получения дипломов будут получать информацию о доступных вакансиях, условиях работы и возможностях профессионального развития. Это сделает для них выход на первое место работы </w:t>
      </w:r>
      <w:r w:rsidRPr="00542BA5">
        <w:rPr>
          <w:rFonts w:ascii="Calibri" w:hAnsi="Calibri" w:cs="Calibri"/>
          <w:sz w:val="24"/>
          <w:szCs w:val="24"/>
        </w:rPr>
        <w:lastRenderedPageBreak/>
        <w:t>максимально понятным и комфортным, </w:t>
      </w:r>
      <w:hyperlink r:id="rId14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сообщил</w:t>
        </w:r>
      </w:hyperlink>
      <w:r w:rsidRPr="00542BA5">
        <w:rPr>
          <w:rFonts w:ascii="Calibri" w:hAnsi="Calibri" w:cs="Calibri"/>
          <w:sz w:val="24"/>
          <w:szCs w:val="24"/>
        </w:rPr>
        <w:t> министр здравоохранения РФ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</w:rPr>
        <w:t>Михаил Мурашко</w:t>
      </w:r>
      <w:r w:rsidRPr="00542BA5">
        <w:rPr>
          <w:rFonts w:ascii="Calibri" w:hAnsi="Calibri" w:cs="Calibri"/>
          <w:sz w:val="24"/>
          <w:szCs w:val="24"/>
        </w:rPr>
        <w:t> на Петербургском международном экономическом форуме.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hyperlink r:id="rId15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https://medvestnik.ru/content/news/vladimir-putin-prizval-ne-peregrujat-vrachei-nastavnikov.html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 xml:space="preserve">В Госдуме РФ предложили гарантировать жилье выпускникам </w:t>
      </w:r>
      <w:proofErr w:type="spellStart"/>
      <w:r w:rsidRPr="00542BA5">
        <w:rPr>
          <w:rFonts w:ascii="Calibri" w:hAnsi="Calibri" w:cs="Calibri"/>
          <w:b/>
          <w:sz w:val="24"/>
          <w:szCs w:val="24"/>
        </w:rPr>
        <w:t>медвузов</w:t>
      </w:r>
      <w:proofErr w:type="spellEnd"/>
      <w:r w:rsidRPr="00542BA5">
        <w:rPr>
          <w:rFonts w:ascii="Calibri" w:hAnsi="Calibri" w:cs="Calibri"/>
          <w:b/>
          <w:sz w:val="24"/>
          <w:szCs w:val="24"/>
        </w:rPr>
        <w:t xml:space="preserve"> на время отработки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Депутаты хотят гарантировать выпускникам </w:t>
      </w:r>
      <w:proofErr w:type="spellStart"/>
      <w:r w:rsidRPr="00542BA5">
        <w:rPr>
          <w:rFonts w:ascii="Calibri" w:hAnsi="Calibri" w:cs="Calibri"/>
          <w:sz w:val="24"/>
          <w:szCs w:val="24"/>
        </w:rPr>
        <w:t>медвузов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жилье на время обязательной отработки у наставника. В Госдуме РФ призвали выделить субсидии малообеспеченным регионам и закрепить эту меру в законе.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В партии «Справедливая Россия» выступили с инициативой закрепить за выпускниками медицинских вузов право на жилье на период обязательной отработки под руководством наставника. Авторы инициативы считают, что отсутствие гарантий проживания побуждает молодых врачей выбирать более обеспеченные регионы с лучшими зарплатами и льготами, что усиливает отток кадров из бедных территорий.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В связи с этим предложено </w:t>
      </w:r>
      <w:proofErr w:type="spellStart"/>
      <w:r w:rsidRPr="00542BA5">
        <w:rPr>
          <w:rFonts w:ascii="Calibri" w:hAnsi="Calibri" w:cs="Calibri"/>
          <w:sz w:val="24"/>
          <w:szCs w:val="24"/>
        </w:rPr>
        <w:t>закрепитть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в законодательстве обязанность выделять субсидии малообеспеченным регионам для предоставления жилья выпускникам, которые придут работать под руководством наставников. Сейчас в законе нет требований о месте прохождения отработки, поэтому выпускники ориентируются на условия труда и жилищные гарантии, что создает дисбаланс в распределении кадров по регионам.</w:t>
      </w:r>
    </w:p>
    <w:p w:rsidR="00542BA5" w:rsidRPr="00542BA5" w:rsidRDefault="00542BA5" w:rsidP="00542BA5">
      <w:pPr>
        <w:jc w:val="both"/>
        <w:rPr>
          <w:rStyle w:val="a9"/>
          <w:rFonts w:ascii="Calibri" w:eastAsiaTheme="majorEastAsia" w:hAnsi="Calibri" w:cs="Calibri"/>
          <w:color w:val="1A1B1D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>23 июня президент РФ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  <w:shd w:val="clear" w:color="auto" w:fill="FFFFFF"/>
        </w:rPr>
        <w:t>Владимир Путин </w:t>
      </w:r>
      <w:r w:rsidRPr="00542BA5">
        <w:rPr>
          <w:rFonts w:ascii="Calibri" w:hAnsi="Calibri" w:cs="Calibri"/>
          <w:sz w:val="24"/>
          <w:szCs w:val="24"/>
          <w:shd w:val="clear" w:color="auto" w:fill="FFFFFF"/>
        </w:rPr>
        <w:t>проведет </w:t>
      </w:r>
      <w:hyperlink r:id="rId16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совещание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 xml:space="preserve"> с членами </w:t>
      </w:r>
      <w:proofErr w:type="spellStart"/>
      <w:r w:rsidRPr="00542BA5">
        <w:rPr>
          <w:rFonts w:ascii="Calibri" w:hAnsi="Calibri" w:cs="Calibri"/>
          <w:sz w:val="24"/>
          <w:szCs w:val="24"/>
          <w:shd w:val="clear" w:color="auto" w:fill="FFFFFF"/>
        </w:rPr>
        <w:t>кабмина</w:t>
      </w:r>
      <w:proofErr w:type="spellEnd"/>
      <w:r w:rsidRPr="00542BA5">
        <w:rPr>
          <w:rFonts w:ascii="Calibri" w:hAnsi="Calibri" w:cs="Calibri"/>
          <w:sz w:val="24"/>
          <w:szCs w:val="24"/>
          <w:shd w:val="clear" w:color="auto" w:fill="FFFFFF"/>
        </w:rPr>
        <w:t xml:space="preserve"> и обсудит реализацию программы наставничества для выпускников медицинских учебных учреждений, писал «МВ». С докладами выступят министр здравоохранения РФ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  <w:shd w:val="clear" w:color="auto" w:fill="FFFFFF"/>
        </w:rPr>
        <w:t>Михаил Мурашко </w:t>
      </w:r>
      <w:r w:rsidRPr="00542BA5">
        <w:rPr>
          <w:rFonts w:ascii="Calibri" w:hAnsi="Calibri" w:cs="Calibri"/>
          <w:sz w:val="24"/>
          <w:szCs w:val="24"/>
          <w:shd w:val="clear" w:color="auto" w:fill="FFFFFF"/>
        </w:rPr>
        <w:t>и председатель комиссии Государственного совета РФ по направлению «Продолжительная и активная жизнь»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  <w:shd w:val="clear" w:color="auto" w:fill="FFFFFF"/>
        </w:rPr>
        <w:t>Станислав Воскресенский.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>Закон об обязательных отработках выпускников медицинских колледжей и вузов был </w:t>
      </w:r>
      <w:hyperlink r:id="rId17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принят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 xml:space="preserve"> в прошлом году. В соответствии с ним всем получившим высшее и среднее профессиональное образование медицинским специалистам после 2026 года придется пройти период наставничества в клиниках, которые работают в системе ОМС. Максимальный срок, на который к выпускнику </w:t>
      </w:r>
      <w:proofErr w:type="spellStart"/>
      <w:r w:rsidRPr="00542BA5">
        <w:rPr>
          <w:rFonts w:ascii="Calibri" w:hAnsi="Calibri" w:cs="Calibri"/>
          <w:sz w:val="24"/>
          <w:szCs w:val="24"/>
          <w:shd w:val="clear" w:color="auto" w:fill="FFFFFF"/>
        </w:rPr>
        <w:t>медвуза</w:t>
      </w:r>
      <w:proofErr w:type="spellEnd"/>
      <w:r w:rsidRPr="00542BA5">
        <w:rPr>
          <w:rFonts w:ascii="Calibri" w:hAnsi="Calibri" w:cs="Calibri"/>
          <w:sz w:val="24"/>
          <w:szCs w:val="24"/>
          <w:shd w:val="clear" w:color="auto" w:fill="FFFFFF"/>
        </w:rPr>
        <w:t xml:space="preserve"> будет приставлен наставник, составляет три года. В том, как будет работать эта система на практике, «МВ» разбирался </w:t>
      </w:r>
      <w:hyperlink r:id="rId18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здесь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>Минздрав РФ оценивал затраты субъектов на реализацию практики наставничества за шесть лет в диапазоне от 300 млн до 3 млрд руб., </w:t>
      </w:r>
      <w:hyperlink r:id="rId19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писал 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«МВ». По закону </w:t>
      </w:r>
      <w:hyperlink r:id="rId20" w:tgtFrame="_blank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выплаты врачам-наставникам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 регулируются локальными нормативными актами организации.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hyperlink r:id="rId21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https://medvestnik.ru/content/news/v-gosdume-rf-predlojili-garantirovat-jile-vypusknikam-medvuzov-na-vremya-otrabotki.html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lastRenderedPageBreak/>
        <w:t>В Госдуму РФ внесли новый законопроект о минимальных зарплатах для медработников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Депутаты предложили гарантировать минимальные зарплаты врачам и </w:t>
      </w:r>
      <w:proofErr w:type="gramStart"/>
      <w:r w:rsidRPr="00542BA5">
        <w:rPr>
          <w:rFonts w:ascii="Calibri" w:hAnsi="Calibri" w:cs="Calibri"/>
          <w:sz w:val="24"/>
          <w:szCs w:val="24"/>
        </w:rPr>
        <w:t>среднему</w:t>
      </w:r>
      <w:proofErr w:type="gramEnd"/>
      <w:r w:rsidRPr="00542BA5">
        <w:rPr>
          <w:rFonts w:ascii="Calibri" w:hAnsi="Calibri" w:cs="Calibri"/>
          <w:sz w:val="24"/>
          <w:szCs w:val="24"/>
        </w:rPr>
        <w:t xml:space="preserve"> и младшему медперсоналу. Они считают, что привязка к МРОТ повысит престиж профессии и привлечет молодых специалистов.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Группа депутатов Госдумы РФ во главе с главой Комитета по труду, социальной политике и делам ветеранов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</w:rPr>
        <w:t>Ярославом Ниловым</w:t>
      </w:r>
      <w:r w:rsidRPr="00542BA5">
        <w:rPr>
          <w:rFonts w:ascii="Calibri" w:hAnsi="Calibri" w:cs="Calibri"/>
          <w:sz w:val="24"/>
          <w:szCs w:val="24"/>
        </w:rPr>
        <w:t> подготовила законопроект, который устанавливает минимальные гарантии оплаты труда для медицинских работников при полной ставке. Предлагается закрепить на федеральном уровне минимальную зарплату: для врачей с высшим медицинским образованием — не ниже четырех МРОТ, для среднего и младшего медперсонала — не ниже 2,5 МРОТ, сообщила «МВ» пресс-служба депутата.  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Ранее Ярослав Нилов выступал с аналогичной инициативой </w:t>
      </w:r>
      <w:hyperlink r:id="rId22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в 2024 году</w:t>
        </w:r>
      </w:hyperlink>
      <w:r w:rsidRPr="00542BA5">
        <w:rPr>
          <w:rFonts w:ascii="Calibri" w:hAnsi="Calibri" w:cs="Calibri"/>
          <w:sz w:val="24"/>
          <w:szCs w:val="24"/>
        </w:rPr>
        <w:t>, но ее по технико-юридическим мотивам раскритиковало правительство РФ, и законопроект </w:t>
      </w:r>
      <w:hyperlink r:id="rId23" w:tgtFrame="_blank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отклонили</w:t>
        </w:r>
      </w:hyperlink>
      <w:r w:rsidRPr="00542BA5">
        <w:rPr>
          <w:rFonts w:ascii="Calibri" w:hAnsi="Calibri" w:cs="Calibri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>Федеральный МРОТ с 1 января 2026 года составляет 27 093 руб. Таким образом, врач на полную ставку сможет получать не менее 108 тыс. руб., а специалист со средним профессиональным образованием — не менее 67,7 тыс. руб.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Авторы инициативы подчеркивают, что привязка выплат к МРОТ поможет создать прозрачный и единый механизм, дающий понятный ориентир для специалистов в разных регионах. Дифференцированный подход, по их словам, позволит сделать профессию врача более привлекательной, в том числе на Дальнем Востоке и в Сибири.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Депутаты рассчитывают, что механизм может заработать с 1 января 2027 года. Документ направлен на рассмотрение в правительство РФ. 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>В феврале 2024 года президент РФ </w:t>
      </w:r>
      <w:r w:rsidRPr="00542BA5">
        <w:rPr>
          <w:rStyle w:val="a9"/>
          <w:rFonts w:ascii="Calibri" w:hAnsi="Calibri" w:cs="Calibri"/>
          <w:color w:val="1A1B1D"/>
          <w:sz w:val="24"/>
          <w:szCs w:val="24"/>
          <w:shd w:val="clear" w:color="auto" w:fill="FFFFFF"/>
        </w:rPr>
        <w:t>Владимир Путин</w:t>
      </w:r>
      <w:r w:rsidRPr="00542BA5">
        <w:rPr>
          <w:rFonts w:ascii="Calibri" w:hAnsi="Calibri" w:cs="Calibri"/>
          <w:sz w:val="24"/>
          <w:szCs w:val="24"/>
          <w:shd w:val="clear" w:color="auto" w:fill="FFFFFF"/>
        </w:rPr>
        <w:t> распорядился о повышении окладной части заработной платы медработников до 50% с 1 апреля во всех субъектах, сохранив при этом дополнительные выплаты, </w:t>
      </w:r>
      <w:hyperlink r:id="rId24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писал «МВ»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. После этого </w:t>
      </w:r>
      <w:hyperlink r:id="rId25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правительство РФ выпустило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 тематическое постановление № 343, а чуть позже Минздрав РФ — </w:t>
      </w:r>
      <w:hyperlink r:id="rId26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рекомендации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 по доведению доли окладов в структуре зарплат медработников до 50%. После этого каждый шестой опрошенный «МВ» медработник </w:t>
      </w:r>
      <w:hyperlink r:id="rId27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жаловался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 на снижение дохода.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hyperlink r:id="rId28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https://medvestnik.ru/content/news/v-gosdumu-rf-vnesli-novyi-zakonoproekt-o-minimalnyh-zarplatah-dlya-medrabotnikov.html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</w:p>
    <w:p w:rsidR="00542BA5" w:rsidRPr="00542BA5" w:rsidRDefault="00542BA5" w:rsidP="00542BA5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542BA5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4A1013" w:rsidRPr="00542BA5" w:rsidRDefault="004A1013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 xml:space="preserve">Минздрав РФ утвердил пониженные коэффициенты на оплату сопроводительной терапии </w:t>
      </w:r>
      <w:proofErr w:type="spellStart"/>
      <w:r w:rsidRPr="00542BA5">
        <w:rPr>
          <w:rFonts w:ascii="Calibri" w:hAnsi="Calibri" w:cs="Calibri"/>
          <w:b/>
          <w:sz w:val="24"/>
          <w:szCs w:val="24"/>
        </w:rPr>
        <w:t>онкопациентов</w:t>
      </w:r>
      <w:proofErr w:type="spellEnd"/>
    </w:p>
    <w:p w:rsidR="004A1013" w:rsidRPr="00542BA5" w:rsidRDefault="004A1013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lastRenderedPageBreak/>
        <w:t>Минздрав РФ утвердил приказ, снижающий коэффициенты сложности лечения для большинства «сложных» пациентов в дневных и круглосуточных стационарах. Это может сократить финансирование сопроводительной терапии.</w:t>
      </w:r>
    </w:p>
    <w:p w:rsidR="004A1013" w:rsidRPr="00542BA5" w:rsidRDefault="004A1013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Утвержден приказ Минздрава РФ, сокращающий надбавки за «сложных» больных в дневных и круглосуточных стационарах (</w:t>
      </w:r>
      <w:hyperlink r:id="rId29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документ есть на «МВ»</w:t>
        </w:r>
      </w:hyperlink>
      <w:r w:rsidRPr="00542BA5">
        <w:rPr>
          <w:rFonts w:ascii="Calibri" w:hAnsi="Calibri" w:cs="Calibri"/>
          <w:sz w:val="24"/>
          <w:szCs w:val="24"/>
        </w:rPr>
        <w:t>). Так, коэффициенты сложности лечения пациента (</w:t>
      </w:r>
      <w:hyperlink r:id="rId30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КСЛП</w:t>
        </w:r>
      </w:hyperlink>
      <w:r w:rsidRPr="00542BA5">
        <w:rPr>
          <w:rFonts w:ascii="Calibri" w:hAnsi="Calibri" w:cs="Calibri"/>
          <w:sz w:val="24"/>
          <w:szCs w:val="24"/>
        </w:rPr>
        <w:t>) в круглосуточном стационаре первого уровня сократятся с 0,17 до 0,14, второго — с 0,61 до 0,34, третьего — с 1,52 до 1,28.</w:t>
      </w:r>
    </w:p>
    <w:p w:rsidR="004A1013" w:rsidRPr="00542BA5" w:rsidRDefault="004A1013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В дневном стационаре — та же тенденция, в медучреждениях первого уровня КСЛП снизится с 0,29 до 0,26, второго — с 1,12 до 1,07, третьего — с 2,67 до 2,3. Незначительно повышен только КСЛП за реабилитацию в реанимации: с 0,15 до 0,18.</w:t>
      </w:r>
    </w:p>
    <w:p w:rsidR="004A1013" w:rsidRPr="00542BA5" w:rsidRDefault="004A1013" w:rsidP="00542BA5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>Проект документа появился еще в начале года. Из-за нововведений, </w:t>
      </w:r>
      <w:hyperlink r:id="rId31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писал</w:t>
        </w:r>
      </w:hyperlink>
      <w:r w:rsidRPr="00542BA5">
        <w:rPr>
          <w:rFonts w:ascii="Calibri" w:hAnsi="Calibri" w:cs="Calibri"/>
          <w:sz w:val="24"/>
          <w:szCs w:val="24"/>
          <w:shd w:val="clear" w:color="auto" w:fill="FFFFFF"/>
        </w:rPr>
        <w:t> «МВ», «надбавка» к клинико-статистическим группам (КСГ) по большинству уровней для сопроводительной терапии будет меньше установленной в 2025 году — даже несмотря на увеличение базовой ставки, то есть тариф на лечение пациентов снижается, например, в дневном стационаре третьего уровня — с 47 тыс. до 42,6 тыс. руб., в круглосуточном стационаре того же уровня — с 49,1 тыс. до 43,6 тыс. руб.</w:t>
      </w:r>
    </w:p>
    <w:p w:rsidR="004A1013" w:rsidRPr="00542BA5" w:rsidRDefault="004A1013" w:rsidP="00542BA5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42BA5">
        <w:rPr>
          <w:rFonts w:ascii="Calibri" w:hAnsi="Calibri" w:cs="Calibri"/>
          <w:sz w:val="24"/>
          <w:szCs w:val="24"/>
          <w:shd w:val="clear" w:color="auto" w:fill="FFFFFF"/>
        </w:rPr>
        <w:t xml:space="preserve">Коэффициент сложности лечения пациента (КСЛП) устанавливается на федеральном уровне и применяется в отдельных случаях в системе клинико-статистических групп как надбавка к тарифу при расчетах за медицинскую помощь. Это позволяет </w:t>
      </w:r>
      <w:proofErr w:type="spellStart"/>
      <w:r w:rsidRPr="00542BA5">
        <w:rPr>
          <w:rFonts w:ascii="Calibri" w:hAnsi="Calibri" w:cs="Calibri"/>
          <w:sz w:val="24"/>
          <w:szCs w:val="24"/>
          <w:shd w:val="clear" w:color="auto" w:fill="FFFFFF"/>
        </w:rPr>
        <w:t>медорганизациям</w:t>
      </w:r>
      <w:proofErr w:type="spellEnd"/>
      <w:r w:rsidRPr="00542BA5">
        <w:rPr>
          <w:rFonts w:ascii="Calibri" w:hAnsi="Calibri" w:cs="Calibri"/>
          <w:sz w:val="24"/>
          <w:szCs w:val="24"/>
          <w:shd w:val="clear" w:color="auto" w:fill="FFFFFF"/>
        </w:rPr>
        <w:t xml:space="preserve"> компенсировать повышенные затраты при работе с отдельными категориями пациентов. Например, расходы на пребывание в стационаре одного из родителей несовершеннолетних; организацию индивидуального сестринского поста; при уходе за пациентами старше 75 лет; при наличии у больных сопутствующих патологий; при проведении операций на парных органах.</w:t>
      </w:r>
    </w:p>
    <w:p w:rsidR="004A1013" w:rsidRPr="00542BA5" w:rsidRDefault="004A1013" w:rsidP="00542BA5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В онкологии КСЛП используют для оплаты сопроводительной терапии (СТ) в дневных и круглосуточных стационарах. Впервые их стали применять в 2023 году, тогда в методических рекомендациях было указано лишь два коэффициента: для дневного и круглосуточного стационаров − 1,2 и 0,63 соответственно. В прошлом году регулятор утвердил повышающие коэффициенты от 0,17 до 2,67 на проведение сопроводительной лекарственной терапии при злокачественных новообразованиях у взрослых в стационарных условиях в соответствии с клиническими рекомендациями и расширил перечень случаев, при оплате которых допускается применять КСЛП, с 14 до 20 позиций, </w:t>
      </w:r>
      <w:hyperlink r:id="rId32" w:history="1">
        <w:r w:rsidRPr="00542BA5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писал</w:t>
        </w:r>
      </w:hyperlink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 «МВ».</w:t>
      </w:r>
    </w:p>
    <w:p w:rsidR="004A1013" w:rsidRPr="00542BA5" w:rsidRDefault="004A1013" w:rsidP="00542BA5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Вице-президент фонда «Вместе против рака», председатель совета учредителей АНО «НАЭЦЗ» адвокат </w:t>
      </w:r>
      <w:hyperlink r:id="rId33" w:history="1">
        <w:r w:rsidRPr="00542BA5">
          <w:rPr>
            <w:rFonts w:ascii="Calibri" w:eastAsia="Times New Roman" w:hAnsi="Calibri" w:cs="Calibri"/>
            <w:b/>
            <w:bCs/>
            <w:color w:val="E1442F"/>
            <w:sz w:val="24"/>
            <w:szCs w:val="24"/>
            <w:lang w:eastAsia="ru-RU"/>
          </w:rPr>
          <w:t xml:space="preserve">Полина </w:t>
        </w:r>
        <w:proofErr w:type="spellStart"/>
        <w:r w:rsidRPr="00542BA5">
          <w:rPr>
            <w:rFonts w:ascii="Calibri" w:eastAsia="Times New Roman" w:hAnsi="Calibri" w:cs="Calibri"/>
            <w:b/>
            <w:bCs/>
            <w:color w:val="E1442F"/>
            <w:sz w:val="24"/>
            <w:szCs w:val="24"/>
            <w:lang w:eastAsia="ru-RU"/>
          </w:rPr>
          <w:t>Габай</w:t>
        </w:r>
        <w:proofErr w:type="spellEnd"/>
      </w:hyperlink>
      <w:r w:rsidRPr="00542BA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 </w:t>
      </w:r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говорила, что объективных оснований для снижения нет, а установленные тарифы еще в 2024 году не позволяли покрывать себестоимость препаратов сопроводительной терапии. По ее словам, хотя регионы могли бы выровнять ситуацию с финансированием сопроводительной терапии, они идут на такие расходы неохотно, и размер КСЛП должны увеличивать именно на федеральном уровне.</w:t>
      </w:r>
    </w:p>
    <w:p w:rsidR="004A1013" w:rsidRPr="00542BA5" w:rsidRDefault="004A1013" w:rsidP="00542BA5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Изменения включают также расширение прав на бесплатное спальное место и питание для законных представителей несовершеннолетних и сопровождающих инвалидов I группы. Коэффициент — 0,20 в общем случае и до 0,60 для пациентов по профилям «Онкология», «Детская онкология» и «Гематология».</w:t>
      </w:r>
    </w:p>
    <w:p w:rsidR="004A1013" w:rsidRPr="00542BA5" w:rsidRDefault="004A1013" w:rsidP="00542BA5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В июле прошлого года Минздрав РФ вносил </w:t>
      </w:r>
      <w:hyperlink r:id="rId34" w:history="1">
        <w:r w:rsidRPr="00542BA5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изменения</w:t>
        </w:r>
      </w:hyperlink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 в Требования к структуре и содержанию тарифного соглашения, которые затронули в том числе размер базовой ставки (средней стоимости законченного случая лечения, включенного в клинико-статистические группы) в стационарных условиях и в условиях дневного стационара. Было определено, что показатель не может быть ниже минимальных размеров базовых ставок, используемых при формировании перечня групп заболеваний, состояний для оплаты первичной медико-санитарной и специализированной помощи в условиях дневного стационара и специализированной медпомощи в стационарных условиях, установленных базовой программой ОМС в составе Программы госгарантий.</w:t>
      </w:r>
    </w:p>
    <w:p w:rsidR="004A1013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hyperlink r:id="rId35" w:history="1">
        <w:r w:rsidR="004A1013" w:rsidRPr="00542BA5">
          <w:rPr>
            <w:rStyle w:val="a4"/>
            <w:rFonts w:ascii="Calibri" w:hAnsi="Calibri" w:cs="Calibri"/>
            <w:sz w:val="24"/>
            <w:szCs w:val="24"/>
          </w:rPr>
          <w:t>https://medvestnik.ru/content/news/minzdrav-rf-utverdil-ponijennye-koefficienty-na-oplatu-soprovoditelnoi-terapii-onkopacientov.html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>Минздрав РФ решил отказаться от полного перехода на электронные медкнижки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Минздрав РФ предложил отказаться от полного перехода на электронные медкнижки с 1 сентября 2026 года. В форму документа хотят добавить поля «гражданство» и «пол» для передачи данных в «Цифровой профиль иностранца».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Минздрав РФ </w:t>
      </w:r>
      <w:hyperlink r:id="rId36" w:tgtFrame="_blank" w:history="1">
        <w:r w:rsidRPr="00542BA5">
          <w:rPr>
            <w:rStyle w:val="a4"/>
            <w:rFonts w:ascii="Calibri" w:hAnsi="Calibri" w:cs="Calibri"/>
            <w:color w:val="E1442F"/>
            <w:sz w:val="24"/>
            <w:szCs w:val="24"/>
          </w:rPr>
          <w:t>предложил</w:t>
        </w:r>
      </w:hyperlink>
      <w:r w:rsidRPr="00542BA5">
        <w:rPr>
          <w:rFonts w:ascii="Calibri" w:hAnsi="Calibri" w:cs="Calibri"/>
          <w:sz w:val="24"/>
          <w:szCs w:val="24"/>
        </w:rPr>
        <w:t> внести изменения в форму и порядок ведения отчетности, учета и выдачи работникам личных медицинских книжек, а также отказаться от идеи полного перехода на электронный формат документа. В случае утверждения приказ вступит в силу 30 июня 2026 года.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Ведомство решило убрать ограничение срока выдачи и ведения ранее выданных медкнижек на бумажном носителе — ранее от них планировалось </w:t>
      </w:r>
      <w:proofErr w:type="spellStart"/>
      <w:r w:rsidRPr="00542BA5">
        <w:rPr>
          <w:rFonts w:ascii="Calibri" w:hAnsi="Calibri" w:cs="Calibri"/>
          <w:sz w:val="24"/>
          <w:szCs w:val="24"/>
        </w:rPr>
        <w:t>полность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отказаться с 1 сентября 2026 года. Также, согласно проекту приказа, в перечень сведений о владельце медкнижки предлагается включить информацию о гражданстве иностранца и его поле. В пояснительной записке говорится, что это дополнение нужно для передачи информации </w:t>
      </w:r>
      <w:proofErr w:type="spellStart"/>
      <w:r w:rsidRPr="00542BA5">
        <w:rPr>
          <w:rFonts w:ascii="Calibri" w:hAnsi="Calibri" w:cs="Calibri"/>
          <w:sz w:val="24"/>
          <w:szCs w:val="24"/>
        </w:rPr>
        <w:t>Роспотребнадзором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в государственный информационный ресурс «Цифровой профиль иностранного гражданина».</w:t>
      </w:r>
    </w:p>
    <w:p w:rsidR="00542BA5" w:rsidRPr="00542BA5" w:rsidRDefault="00542BA5" w:rsidP="00542BA5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Минздрав РФ </w:t>
      </w:r>
      <w:hyperlink r:id="rId37" w:history="1">
        <w:r w:rsidRPr="00542BA5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объявил</w:t>
        </w:r>
      </w:hyperlink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 xml:space="preserve"> о возможности получения личных медицинских книжек с сентября 2023 года через портал </w:t>
      </w:r>
      <w:proofErr w:type="spellStart"/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госуслуг</w:t>
      </w:r>
      <w:proofErr w:type="spellEnd"/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 xml:space="preserve"> в феврале 2022-го. Для их оформления планировалось использовать Федеральную </w:t>
      </w:r>
      <w:proofErr w:type="spellStart"/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госинформсистему</w:t>
      </w:r>
      <w:proofErr w:type="spellEnd"/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 xml:space="preserve"> сведений санитарно-эпидемиологического характера (подсистема ЭЛМК). Часть данных хотели брать из Единой </w:t>
      </w:r>
      <w:proofErr w:type="spellStart"/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госинформсистемы</w:t>
      </w:r>
      <w:proofErr w:type="spellEnd"/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 xml:space="preserve"> в сфере здравоохранения (ЕГИСЗ). После этого неоднократно вводилась отсрочка, </w:t>
      </w:r>
      <w:hyperlink r:id="rId38" w:history="1">
        <w:r w:rsidRPr="00542BA5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сообщал «МВ»</w:t>
        </w:r>
      </w:hyperlink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. В последний раз Минздрав РФ </w:t>
      </w:r>
      <w:hyperlink r:id="rId39" w:history="1">
        <w:r w:rsidRPr="00542BA5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отложил</w:t>
        </w:r>
      </w:hyperlink>
      <w:r w:rsidRPr="00542BA5">
        <w:rPr>
          <w:rFonts w:ascii="Calibri" w:eastAsia="Times New Roman" w:hAnsi="Calibri" w:cs="Calibri"/>
          <w:sz w:val="24"/>
          <w:szCs w:val="24"/>
          <w:lang w:eastAsia="ru-RU"/>
        </w:rPr>
        <w:t> переход на личные медицинские книжки в электронном формате еще на год в августе прошлого года.</w:t>
      </w:r>
    </w:p>
    <w:p w:rsidR="00542BA5" w:rsidRPr="00542BA5" w:rsidRDefault="00542BA5" w:rsidP="00542BA5">
      <w:pPr>
        <w:jc w:val="both"/>
        <w:rPr>
          <w:rStyle w:val="a4"/>
          <w:rFonts w:ascii="Calibri" w:hAnsi="Calibri" w:cs="Calibri"/>
          <w:sz w:val="24"/>
          <w:szCs w:val="24"/>
        </w:rPr>
      </w:pPr>
      <w:hyperlink r:id="rId40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https://medvestnik.ru/content/news/minzdrav-rf-reshil-otkazatsya-ot-polnogo-perehoda-na-elektronnye-medknijki.html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 xml:space="preserve">Минздрав с октября запустит мониторинг мер </w:t>
      </w:r>
      <w:proofErr w:type="spellStart"/>
      <w:r w:rsidRPr="00542BA5">
        <w:rPr>
          <w:rFonts w:ascii="Calibri" w:hAnsi="Calibri" w:cs="Calibri"/>
          <w:b/>
          <w:sz w:val="24"/>
          <w:szCs w:val="24"/>
        </w:rPr>
        <w:t>соцподдержки</w:t>
      </w:r>
      <w:proofErr w:type="spellEnd"/>
      <w:r w:rsidRPr="00542BA5">
        <w:rPr>
          <w:rFonts w:ascii="Calibri" w:hAnsi="Calibri" w:cs="Calibri"/>
          <w:b/>
          <w:sz w:val="24"/>
          <w:szCs w:val="24"/>
        </w:rPr>
        <w:t xml:space="preserve"> молодых врачей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В системе фонда ОМС есть средства для выполнения этой задачи, отметил глава ведомства Михаил Мурашко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МОСКВА, 23 июня. /ТАСС/. Министерство здравоохранения России в октябре 2026 года запустит систему мониторинга, которая будет отслеживать меры </w:t>
      </w:r>
      <w:proofErr w:type="spellStart"/>
      <w:r w:rsidRPr="00542BA5">
        <w:rPr>
          <w:rFonts w:ascii="Calibri" w:hAnsi="Calibri" w:cs="Calibri"/>
          <w:sz w:val="24"/>
          <w:szCs w:val="24"/>
        </w:rPr>
        <w:t>соцподдержки</w:t>
      </w:r>
      <w:proofErr w:type="spellEnd"/>
      <w:r w:rsidRPr="00542BA5">
        <w:rPr>
          <w:rFonts w:ascii="Calibri" w:hAnsi="Calibri" w:cs="Calibri"/>
          <w:sz w:val="24"/>
          <w:szCs w:val="24"/>
        </w:rPr>
        <w:t>, в том числе обеспечение жильем молодых врачей в регионах. Об этом сообщил министр здравоохранения Михаил Мурашко на совещании с президентом РФ Владимиром Путиным.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"Субъекты совместно с нами должны организовать предоставление мер социальной поддержки молодым специалистам, в первую очередь, это обеспечение жильем нуждающихся, и с октября этого года мы запускаем мониторинг исполнения таких мероприятий", - сказал он.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>Министр добавил, что в системе фонда ОМС есть средства для выполнения этой задачи. 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hyperlink r:id="rId41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https://tass.ru/obschestvo/27849321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</w:p>
    <w:p w:rsidR="004A1013" w:rsidRPr="00542BA5" w:rsidRDefault="00542BA5" w:rsidP="00542BA5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542BA5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542BA5" w:rsidRPr="00542BA5" w:rsidRDefault="00542BA5" w:rsidP="00542BA5">
      <w:pPr>
        <w:jc w:val="both"/>
        <w:rPr>
          <w:rFonts w:ascii="Calibri" w:hAnsi="Calibri" w:cs="Calibri"/>
          <w:b/>
          <w:sz w:val="24"/>
          <w:szCs w:val="24"/>
        </w:rPr>
      </w:pPr>
      <w:r w:rsidRPr="00542BA5">
        <w:rPr>
          <w:rFonts w:ascii="Calibri" w:hAnsi="Calibri" w:cs="Calibri"/>
          <w:b/>
          <w:sz w:val="24"/>
          <w:szCs w:val="24"/>
        </w:rPr>
        <w:t xml:space="preserve">СП: в 2025 году Минздрав </w:t>
      </w:r>
      <w:proofErr w:type="spellStart"/>
      <w:r w:rsidRPr="00542BA5">
        <w:rPr>
          <w:rFonts w:ascii="Calibri" w:hAnsi="Calibri" w:cs="Calibri"/>
          <w:b/>
          <w:sz w:val="24"/>
          <w:szCs w:val="24"/>
        </w:rPr>
        <w:t>недонаправил</w:t>
      </w:r>
      <w:proofErr w:type="spellEnd"/>
      <w:r w:rsidRPr="00542BA5">
        <w:rPr>
          <w:rFonts w:ascii="Calibri" w:hAnsi="Calibri" w:cs="Calibri"/>
          <w:b/>
          <w:sz w:val="24"/>
          <w:szCs w:val="24"/>
        </w:rPr>
        <w:t xml:space="preserve"> в </w:t>
      </w:r>
      <w:proofErr w:type="spellStart"/>
      <w:r w:rsidRPr="00542BA5">
        <w:rPr>
          <w:rFonts w:ascii="Calibri" w:hAnsi="Calibri" w:cs="Calibri"/>
          <w:b/>
          <w:sz w:val="24"/>
          <w:szCs w:val="24"/>
        </w:rPr>
        <w:t>федбюджет</w:t>
      </w:r>
      <w:proofErr w:type="spellEnd"/>
      <w:r w:rsidRPr="00542BA5">
        <w:rPr>
          <w:rFonts w:ascii="Calibri" w:hAnsi="Calibri" w:cs="Calibri"/>
          <w:b/>
          <w:sz w:val="24"/>
          <w:szCs w:val="24"/>
        </w:rPr>
        <w:t xml:space="preserve"> более 15 млрд рублей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r w:rsidRPr="00542BA5">
        <w:rPr>
          <w:rFonts w:ascii="Calibri" w:hAnsi="Calibri" w:cs="Calibri"/>
          <w:sz w:val="24"/>
          <w:szCs w:val="24"/>
        </w:rPr>
        <w:t xml:space="preserve">Счетная палата (СП) РФ провела аудит исполнения бюджета в сфере здравоохранения в 2025 году. Под проверку попали Минздрав, Росздравнадзор, </w:t>
      </w:r>
      <w:proofErr w:type="spellStart"/>
      <w:r w:rsidRPr="00542BA5">
        <w:rPr>
          <w:rFonts w:ascii="Calibri" w:hAnsi="Calibri" w:cs="Calibri"/>
          <w:sz w:val="24"/>
          <w:szCs w:val="24"/>
        </w:rPr>
        <w:t>Роспотребнадзор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и НМИЦ нейрохирургии им. Н.Н. Бурденко. В частности, результаты показали существенное </w:t>
      </w:r>
      <w:proofErr w:type="spellStart"/>
      <w:r w:rsidRPr="00542BA5">
        <w:rPr>
          <w:rFonts w:ascii="Calibri" w:hAnsi="Calibri" w:cs="Calibri"/>
          <w:sz w:val="24"/>
          <w:szCs w:val="24"/>
        </w:rPr>
        <w:t>недостижение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цели по доходам у ведомства – в </w:t>
      </w:r>
      <w:proofErr w:type="spellStart"/>
      <w:r w:rsidRPr="00542BA5">
        <w:rPr>
          <w:rFonts w:ascii="Calibri" w:hAnsi="Calibri" w:cs="Calibri"/>
          <w:sz w:val="24"/>
          <w:szCs w:val="24"/>
        </w:rPr>
        <w:t>федбюджет</w:t>
      </w:r>
      <w:proofErr w:type="spellEnd"/>
      <w:r w:rsidRPr="00542BA5">
        <w:rPr>
          <w:rFonts w:ascii="Calibri" w:hAnsi="Calibri" w:cs="Calibri"/>
          <w:sz w:val="24"/>
          <w:szCs w:val="24"/>
        </w:rPr>
        <w:t xml:space="preserve"> поступило 8,4 млрд рублей, что составляет всего 35,2% от прогноза, установленного в 23,8 млрд рублей. В то же время надзорные службы установленный план перевыполнили на 24,6% (603,5 млн рублей) и 1,3% (947,8 млн рублей) соответственно. Подробнее о работе отраслевых регуляторов – в обзоре </w:t>
      </w:r>
      <w:proofErr w:type="spellStart"/>
      <w:r w:rsidRPr="00542BA5">
        <w:rPr>
          <w:rFonts w:ascii="Calibri" w:hAnsi="Calibri" w:cs="Calibri"/>
          <w:sz w:val="24"/>
          <w:szCs w:val="24"/>
        </w:rPr>
        <w:t>Vademecum</w:t>
      </w:r>
      <w:proofErr w:type="spellEnd"/>
      <w:r w:rsidRPr="00542BA5">
        <w:rPr>
          <w:rFonts w:ascii="Calibri" w:hAnsi="Calibri" w:cs="Calibri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Минздрав РФ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В 2025 году в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федбюджете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для Минздрава было заложено 817,3 млрд рублей. Согласно уточненной сводной бюджетной росписи, лимит бюджетных обязательств составил 892,1 млрд рублей, итоговое исполнение – 882,3 млрд рублей (98,9%). Больше всего средств (742,4 млрд рублей) традиционно ушло на раздел «Здравоохранение», включающего ряд мероприятий по амбулаторной (362,3 млрд рублей) и стационарной (77,4 млрд рублей) медицинской помощи.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lastRenderedPageBreak/>
        <w:t xml:space="preserve">Ключевым направлением расходования средств резервного фонда стало предоставление трансфертов бюджетам Курской (1,8 млрд рублей) и Ульяновской (300 млн рублей) областей, а также всем региональным бюджетам на реализацию отдельных полномочий в области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лекобеспечения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(934 млн рублей).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За прошлый год Минздрав увеличил дебиторскую задолженность в 2,5 раза – с изначальных 35,7 млрд рублей до 83,7 млрд. Объем кредиторской задолженности увеличился на 547,8 млн рублей (по данным на 1 января 2026 года, сумма составила 1,3 млрд рублей). Наибольший объем сформировался по ежегодным взносам в бюджет ВОЗ – 904,7 млн рублей.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Также СП выявила недостатки использования средств на строительство и приобретение объектов. Согласно профильному реестру, для Минздрава было предусмотрено 87,5 млрд рублей, из них фактически освоено 56,7 млрд. Так, в 2025 году к вводу в эксплуатацию было предусмотрено 15 объектов. Срыв сроков был допущен по двум региональным объектам общей стоимостью менее 3 млрд рублей. Ввод четырех объектов был перенесен на 2026 год. По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федпроекту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«Модернизация первичного звена» предполагалась реализация 505 объектов, фактически введено в эксплуатацию 339 учреждений, а лицензия получена только на 316 объектов.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К началу 2026 года на балансе Минздрава числилось 24 объекта незавершенного строительства, на балансе подведомственных учреждений – 111. Признаки объектов долгостроя (более 10 лет с начала формирования капвложений), как выявила СП, характерны для 20 объектов, «брошенных» – для 30 (13 из них подлежат списанию или сносу).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Кроме того, СП выявила отсутствие у населения доступности ВМП-II. Как отмечают аудиторы, распределение объемов федеральным клиникам было согласовано вице-премьером РФ Татьяной Голиковой только в марте 2025 года. В результате НМИЦ нейрохирургии получил финансирование лишь в апреле, а до этого был вынужден использовать имеющиеся остатки препаратов и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медизделий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НМИЦ нейрохирургии им. Н.Н. Бурденко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В частности, в подведомственном Минздраву медучреждении аудиторы проверяли соблюдение законодательства о контрактной системе в сфере закупок. Так, министерство и НМИЦ не направили претензии подрядчикам по 10 контрактам за нарушение сроков выполнения работ, сумма пеней составила более 376,4 млн рублей. Также в начале ушедшего года центр заключил несколько договоров на общую сумму 959,6 млн рублей для финансирования ВМП-II (вне базовой программы ОМС) без утвержденного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госзадания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Госпрограмма «Развитие здравоохранения»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Расходы на реализацию отраслевой </w:t>
      </w:r>
      <w:hyperlink r:id="rId42" w:history="1">
        <w:r w:rsidRPr="00542BA5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госпрограммы</w:t>
        </w:r>
      </w:hyperlink>
      <w:r w:rsidRPr="00542BA5">
        <w:rPr>
          <w:rFonts w:ascii="Calibri" w:hAnsi="Calibri" w:cs="Calibri"/>
          <w:spacing w:val="-5"/>
          <w:sz w:val="24"/>
          <w:szCs w:val="24"/>
        </w:rPr>
        <w:t xml:space="preserve"> в 2025 году составили 1,5 трлн рублей (99,4% от плана). Низкие показатели, как отмечают аудиторы, фиксируются по следующим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федпроектам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: «Борьба с сахарным диабетом» (91,2%), «Здоровье для каждого» (92,9%) и «Модернизация первичного звена здравоохранения» (95%). Стопроцентный показатель </w:t>
      </w:r>
      <w:r w:rsidRPr="00542BA5">
        <w:rPr>
          <w:rFonts w:ascii="Calibri" w:hAnsi="Calibri" w:cs="Calibri"/>
          <w:spacing w:val="-5"/>
          <w:sz w:val="24"/>
          <w:szCs w:val="24"/>
        </w:rPr>
        <w:lastRenderedPageBreak/>
        <w:t>фиксируется по программам «Борьба с онкологическими заболеваниями», «Национальная цифровая платформа «Здоровье» и «Медицинские кадры».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Не достигнут один показатель из 11 – «заболеваемость гепатитом С, на 100 тысяч населения» (план – 31,12 человек, факт – 40,77 человек). Наиболее высокие результаты показали «охват населения иммунизацией по НКПП» (план – 95%, факт – 102,1%) и «заболеваемость туберкулезом, на 100 тысяч населения» (план – 29 человек, факт – 123,4 человек).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Росздравнадзор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В 2025 году общий объем расходов надзорной службы был утвержден в размере 4,7 млрд рублей. Согласно сводной бюджетной росписи, лимит бюджетных обязательств составил 4,894 млрд рублей, итоговое исполнение – 4,847 млрд рублей (99%). Доходы ведомства составили 603,5 млн рублей (124,6%). По мнению СП, основные причины отклонений от прогнозных показателей связаны с увеличением количества заявлений на регистрацию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медизделий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и медицинской техники.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Дебиторская задолженность Росздравнадзора показала снижение на 27 млн рублей (24,4%) и составила 83,7 млн рублей. По большей части это объясняется возвратом подведомственными учреждениями неиспользованных остатков целевых субсидий. Кредиторская задолженность составила 144,1 млн рублей (рост на 38% по сравнению с началом года).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Проверкой соблюдения законодательства в сфере закупок для обеспечения государственных и муниципальных нужд Счетной палатой установлены нарушения и недостатки, в том числе приводящие к нецелевому расходованию бюджетных средств и рискам неэффективных расходов. Анализ правомерности распоряжения, управления и использования федерального имущества показал риски избыточных расходов на оплату коммунальных услуг при расчетах с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субабонентами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Роспотребнадзор</w:t>
      </w:r>
      <w:proofErr w:type="spellEnd"/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Объем кассового исполнения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федбюджета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ведомством составил 102,1 млрд рублей (99,9%). Объем дебиторской задолженности увеличился на 0,5% и оказался на уровне 15,1 млрд рублей, кредиторская задолженность снизилась на 30,5%, дойдя до 170,2 млн рублей.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 xml:space="preserve">Аудиторы также выявили ряд недостатков в строительстве и реконструкции капитальных объектов. Например, для реконструкции и строительства комплекса зданий Федерального научного центра гигиены им. Ф.Ф. Эрисмана </w:t>
      </w:r>
      <w:proofErr w:type="spellStart"/>
      <w:r w:rsidRPr="00542BA5">
        <w:rPr>
          <w:rFonts w:ascii="Calibri" w:hAnsi="Calibri" w:cs="Calibri"/>
          <w:spacing w:val="-5"/>
          <w:sz w:val="24"/>
          <w:szCs w:val="24"/>
        </w:rPr>
        <w:t>Роспотребнадзор</w:t>
      </w:r>
      <w:proofErr w:type="spellEnd"/>
      <w:r w:rsidRPr="00542BA5">
        <w:rPr>
          <w:rFonts w:ascii="Calibri" w:hAnsi="Calibri" w:cs="Calibri"/>
          <w:spacing w:val="-5"/>
          <w:sz w:val="24"/>
          <w:szCs w:val="24"/>
        </w:rPr>
        <w:t xml:space="preserve"> заключил контракт с АО «Монолитное строительное управление – 1» и предоставил обществу аванс в размере 50% от цены контракта – 1,1 млрд рублей. Проверка показала, что стоимость исполненных подрядчиком обязательств составляет 0 рублей.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Для строительства лаборатории высокого уровня биологической безопасности для оперативной расшифровки и изучения опасных и неизвестных инфекций в Перми подрядчику был направлен аванс в 54% от цены контракта (1,2 млрд рублей), при этом стоимость исполненных обязательств составила 364,6 млн рублей (26,4%).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lastRenderedPageBreak/>
        <w:t>В результате СП сделала вывод, что ведомственный контроль за соблюдением законодательства о контрактной системе в сфере закупок в отношении подведомственных учреждений осуществлялся не на должном уровне.</w:t>
      </w:r>
    </w:p>
    <w:p w:rsidR="00542BA5" w:rsidRPr="00542BA5" w:rsidRDefault="00542BA5" w:rsidP="00542BA5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542BA5">
        <w:rPr>
          <w:rFonts w:ascii="Calibri" w:hAnsi="Calibri" w:cs="Calibri"/>
          <w:spacing w:val="-5"/>
          <w:sz w:val="24"/>
          <w:szCs w:val="24"/>
        </w:rPr>
        <w:t>О том, как исполняется бюджет ФФОМС с начала 2026 года, – в нашем </w:t>
      </w:r>
      <w:hyperlink r:id="rId43" w:history="1">
        <w:r w:rsidRPr="00542BA5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материале</w:t>
        </w:r>
      </w:hyperlink>
      <w:r w:rsidRPr="00542BA5">
        <w:rPr>
          <w:rFonts w:ascii="Calibri" w:hAnsi="Calibri" w:cs="Calibri"/>
          <w:spacing w:val="-5"/>
          <w:sz w:val="24"/>
          <w:szCs w:val="24"/>
        </w:rPr>
        <w:t>.</w:t>
      </w:r>
    </w:p>
    <w:p w:rsidR="00542BA5" w:rsidRPr="00542BA5" w:rsidRDefault="00542BA5" w:rsidP="00542BA5">
      <w:pPr>
        <w:jc w:val="both"/>
        <w:rPr>
          <w:rFonts w:ascii="Calibri" w:hAnsi="Calibri" w:cs="Calibri"/>
          <w:sz w:val="24"/>
          <w:szCs w:val="24"/>
        </w:rPr>
      </w:pPr>
      <w:hyperlink r:id="rId44" w:history="1">
        <w:r w:rsidRPr="00542BA5">
          <w:rPr>
            <w:rStyle w:val="a4"/>
            <w:rFonts w:ascii="Calibri" w:hAnsi="Calibri" w:cs="Calibri"/>
            <w:sz w:val="24"/>
            <w:szCs w:val="24"/>
          </w:rPr>
          <w:t>https://vademec.ru/news/2026/06/24/sp-v-2025-godu-minzdrav-nedonapravil-v-fedbyudzhet-bolee-15-mlrd-rubley/</w:t>
        </w:r>
      </w:hyperlink>
    </w:p>
    <w:p w:rsidR="00542BA5" w:rsidRPr="00542BA5" w:rsidRDefault="00542BA5" w:rsidP="00542BA5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sectPr w:rsidR="00542BA5" w:rsidRPr="00542BA5" w:rsidSect="004B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85F65"/>
    <w:multiLevelType w:val="multilevel"/>
    <w:tmpl w:val="B788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F1B72"/>
    <w:multiLevelType w:val="hybridMultilevel"/>
    <w:tmpl w:val="2C78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22B4A"/>
    <w:multiLevelType w:val="multilevel"/>
    <w:tmpl w:val="B788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36C64"/>
    <w:multiLevelType w:val="multilevel"/>
    <w:tmpl w:val="B788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00"/>
    <w:rsid w:val="004A1013"/>
    <w:rsid w:val="004B21DB"/>
    <w:rsid w:val="00542BA5"/>
    <w:rsid w:val="005A4194"/>
    <w:rsid w:val="0067598F"/>
    <w:rsid w:val="00713B1D"/>
    <w:rsid w:val="007A4C70"/>
    <w:rsid w:val="00927F00"/>
    <w:rsid w:val="00950F52"/>
    <w:rsid w:val="00974519"/>
    <w:rsid w:val="00B87595"/>
    <w:rsid w:val="00F9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59F5"/>
  <w15:docId w15:val="{077E9A83-7CDB-DA4F-BF3E-E08D417F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1DB"/>
  </w:style>
  <w:style w:type="paragraph" w:styleId="1">
    <w:name w:val="heading 1"/>
    <w:basedOn w:val="a"/>
    <w:next w:val="a"/>
    <w:link w:val="10"/>
    <w:uiPriority w:val="9"/>
    <w:qFormat/>
    <w:rsid w:val="00927F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7F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2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7F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27F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text">
    <w:name w:val="doc__text"/>
    <w:basedOn w:val="a"/>
    <w:rsid w:val="0092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F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4519"/>
    <w:pPr>
      <w:ind w:left="720"/>
      <w:contextualSpacing/>
    </w:pPr>
  </w:style>
  <w:style w:type="paragraph" w:customStyle="1" w:styleId="stylessubtitle3i1pb">
    <w:name w:val="styles_subtitle__3i1pb"/>
    <w:basedOn w:val="a"/>
    <w:rsid w:val="00F9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926D7"/>
    <w:rPr>
      <w:color w:val="800080" w:themeColor="followedHyperlink"/>
      <w:u w:val="single"/>
    </w:rPr>
  </w:style>
  <w:style w:type="character" w:customStyle="1" w:styleId="name">
    <w:name w:val="name"/>
    <w:basedOn w:val="a0"/>
    <w:rsid w:val="004A1013"/>
  </w:style>
  <w:style w:type="character" w:customStyle="1" w:styleId="surname">
    <w:name w:val="surname"/>
    <w:basedOn w:val="a0"/>
    <w:rsid w:val="004A1013"/>
  </w:style>
  <w:style w:type="character" w:customStyle="1" w:styleId="30">
    <w:name w:val="Заголовок 3 Знак"/>
    <w:basedOn w:val="a0"/>
    <w:link w:val="3"/>
    <w:uiPriority w:val="9"/>
    <w:semiHidden/>
    <w:rsid w:val="004A1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4A1013"/>
    <w:rPr>
      <w:b/>
      <w:bCs/>
    </w:rPr>
  </w:style>
  <w:style w:type="character" w:customStyle="1" w:styleId="text">
    <w:name w:val="text"/>
    <w:basedOn w:val="a0"/>
    <w:rsid w:val="004A1013"/>
  </w:style>
  <w:style w:type="paragraph" w:customStyle="1" w:styleId="my-2">
    <w:name w:val="my-2"/>
    <w:basedOn w:val="a"/>
    <w:rsid w:val="004A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paragraphv38pc">
    <w:name w:val="paragraph_paragraph__v38pc"/>
    <w:basedOn w:val="a"/>
    <w:rsid w:val="004A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6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0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6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2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5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9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70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6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27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9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5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19116">
                      <w:marLeft w:val="-125"/>
                      <w:marRight w:val="-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5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2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740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405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395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526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2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1316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50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04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525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10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0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223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56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vestnik.ru/content/news/regiony-nachali-predlagat-vypusknikam-medvuzov-kliniki-dlya-prohojdeniya-nastavnichestva.html" TargetMode="External"/><Relationship Id="rId18" Type="http://schemas.openxmlformats.org/officeDocument/2006/relationships/hyperlink" Target="https://medvestnik.ru/content/cards/v-rossii-prinyat-zakon-ob-obyazatelnyh-otrabotkah-dlya-vrachei-i-medsester-kak-eto-budet-rabotat.html?utm_source=main&amp;utm_medium=center-main-right" TargetMode="External"/><Relationship Id="rId26" Type="http://schemas.openxmlformats.org/officeDocument/2006/relationships/hyperlink" Target="https://medvestnik.ru/content/news/Minzdrav-obobshil-paket-mer-po-uluchsheniu-situacii-s-zarplatami-specialistov.html" TargetMode="External"/><Relationship Id="rId39" Type="http://schemas.openxmlformats.org/officeDocument/2006/relationships/hyperlink" Target="https://medvestnik.ru/content/news/Minzdrav-snova-otlojil-perehod-na-elektronnye-medknijki-2.html" TargetMode="External"/><Relationship Id="rId21" Type="http://schemas.openxmlformats.org/officeDocument/2006/relationships/hyperlink" Target="https://medvestnik.ru/content/news/v-gosdume-rf-predlojili-garantirovat-jile-vypusknikam-medvuzov-na-vremya-otrabotki.html" TargetMode="External"/><Relationship Id="rId34" Type="http://schemas.openxmlformats.org/officeDocument/2006/relationships/hyperlink" Target="https://medvestnik.ru/content/news/Minzdrav-uvelichil-chislo-pokazatelei-rezultativnosti-poliklinik-dlya-dopfinansirovaniya.html?ysclid=mkmlk4zqc2680796394" TargetMode="External"/><Relationship Id="rId42" Type="http://schemas.openxmlformats.org/officeDocument/2006/relationships/hyperlink" Target="https://vademec.ru/news/2026/06/16/sp-za-i-kvartal-goda-plan-finansirovaniya-programmy-razvitie-zdravookhraneniya-prevyshen-na-2-7/" TargetMode="External"/><Relationship Id="rId7" Type="http://schemas.openxmlformats.org/officeDocument/2006/relationships/hyperlink" Target="https://vademec.ru/news/2025/11/17/putin-utverdil-zakon-ob-obyazatelnoy-otrabotke-vypusknikov-medvuz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vestnik.ru/content/news/vladimir-putin-provedet-soveshanie-po-teme-nastavnichestva-v-medicine.html" TargetMode="External"/><Relationship Id="rId29" Type="http://schemas.openxmlformats.org/officeDocument/2006/relationships/hyperlink" Target="https://medvestnik.ru/content/documents/342n-ot-06-05-202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ademec.ru/news/2026/06/22/utverzhdeny-pravila-uchastiya-medvuzov-v-eksperimente-po-perekhodu-na-novuyu-sistemu-vysshego-obrazo/" TargetMode="External"/><Relationship Id="rId11" Type="http://schemas.openxmlformats.org/officeDocument/2006/relationships/hyperlink" Target="http://www.kremlin.ru/events/president/news/80090" TargetMode="External"/><Relationship Id="rId24" Type="http://schemas.openxmlformats.org/officeDocument/2006/relationships/hyperlink" Target="https://medvestnik.ru/content/news/Putin-anonsiroval-novye-mery-finansovoi-podderjki-medrabotnikov-2.html" TargetMode="External"/><Relationship Id="rId32" Type="http://schemas.openxmlformats.org/officeDocument/2006/relationships/hyperlink" Target="https://medvestnik.ru/content/news/Minzdrav-i-FOMS-obnovili-pravila-oplaty-medpomoshi-po-OMS.html" TargetMode="External"/><Relationship Id="rId37" Type="http://schemas.openxmlformats.org/officeDocument/2006/relationships/hyperlink" Target="https://medvestnik.ru/content/news/Minzdrav-utverdil-poryadok-vydachi-rossiyanam-elektronnyh-medknijek.html" TargetMode="External"/><Relationship Id="rId40" Type="http://schemas.openxmlformats.org/officeDocument/2006/relationships/hyperlink" Target="https://medvestnik.ru/content/news/minzdrav-rf-reshil-otkazatsya-ot-polnogo-perehoda-na-elektronnye-medknijki.html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edvestnik.ru/content/news/vladimir-putin-prizval-ne-peregrujat-vrachei-nastavnikov.html" TargetMode="External"/><Relationship Id="rId23" Type="http://schemas.openxmlformats.org/officeDocument/2006/relationships/hyperlink" Target="https://www.garant.ru/news/1818804/" TargetMode="External"/><Relationship Id="rId28" Type="http://schemas.openxmlformats.org/officeDocument/2006/relationships/hyperlink" Target="https://medvestnik.ru/content/news/v-gosdumu-rf-vnesli-novyi-zakonoproekt-o-minimalnyh-zarplatah-dlya-medrabotnikov.html" TargetMode="External"/><Relationship Id="rId36" Type="http://schemas.openxmlformats.org/officeDocument/2006/relationships/hyperlink" Target="https://regulation.gov.ru/projects/168854/" TargetMode="External"/><Relationship Id="rId10" Type="http://schemas.openxmlformats.org/officeDocument/2006/relationships/hyperlink" Target="https://vademec.ru/news/2026/06/24/putin-obsudil-s-pravitelstvom-start-programmy-nastavnichestva-glavnoe/" TargetMode="External"/><Relationship Id="rId19" Type="http://schemas.openxmlformats.org/officeDocument/2006/relationships/hyperlink" Target="https://medvestnik.ru/content/news/minzdrav-rf-raskryl-planiruemye-zatraty-regionov-na-oplatu-truda-nastavnikov.html" TargetMode="External"/><Relationship Id="rId31" Type="http://schemas.openxmlformats.org/officeDocument/2006/relationships/hyperlink" Target="https://medvestnik.ru/content/news/stacionaram-urejut-koefficienty-na-oplatu-soprovoditelnoi-terapii-onkopacientov.html" TargetMode="External"/><Relationship Id="rId44" Type="http://schemas.openxmlformats.org/officeDocument/2006/relationships/hyperlink" Target="https://vademec.ru/news/2026/06/24/sp-v-2025-godu-minzdrav-nedonapravil-v-fedbyudzhet-bolee-15-mlrd-rubl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demec.ru/article/okruglenie_do_tselevykh-_kak_menyaetsya_struktura_priema_v_medvuzy/" TargetMode="External"/><Relationship Id="rId14" Type="http://schemas.openxmlformats.org/officeDocument/2006/relationships/hyperlink" Target="https://medvestnik.ru/content/news/mihail-murashko-ocenil-interes-abiturientov-k-medvuzam-posle-vvedeniya-nastavnichestva.html" TargetMode="External"/><Relationship Id="rId22" Type="http://schemas.openxmlformats.org/officeDocument/2006/relationships/hyperlink" Target="https://medvestnik.ru/content/news/V-Rossii-predlojili-ustanovit-minimalnuu-zarplatu-medrabotnikam.html" TargetMode="External"/><Relationship Id="rId27" Type="http://schemas.openxmlformats.org/officeDocument/2006/relationships/hyperlink" Target="https://medvestnik.ru/content/news/U-kajdogo-shestogo-oproshennogo-medika-snizilas-zarplata-posle-povysheniya-oklada.html" TargetMode="External"/><Relationship Id="rId30" Type="http://schemas.openxmlformats.org/officeDocument/2006/relationships/hyperlink" Target="https://medvestnik.ru/content/news/Souz-pacientov-poprosil-vydelit-osobyi-tarif-dlya-lecheniya-anemii-u-onkopacientov.html" TargetMode="External"/><Relationship Id="rId35" Type="http://schemas.openxmlformats.org/officeDocument/2006/relationships/hyperlink" Target="https://medvestnik.ru/content/news/minzdrav-rf-utverdil-ponijennye-koefficienty-na-oplatu-soprovoditelnoi-terapii-onkopacientov.html" TargetMode="External"/><Relationship Id="rId43" Type="http://schemas.openxmlformats.org/officeDocument/2006/relationships/hyperlink" Target="https://vademec.ru/news/2026/06/19/sp-za-i-kvartal-2026-goda-byudzhet-ffoms-ispolnen-s-defitsitom-v-28-7-mlrd-rubley/" TargetMode="External"/><Relationship Id="rId8" Type="http://schemas.openxmlformats.org/officeDocument/2006/relationships/hyperlink" Target="https://vademec.ru/news/2025/11/17/putin-utverdil-zakon-ob-obyazatelnoy-otrabotke-vypusknikov-medvuzov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dvestnik.ru/content/news/vladimir-putin-provedet-soveshanie-po-teme-nastavnichestva-v-medicine.html" TargetMode="External"/><Relationship Id="rId17" Type="http://schemas.openxmlformats.org/officeDocument/2006/relationships/hyperlink" Target="https://medvestnik.ru/content/news/prezident-rf-podpisal-zakon-ob-obyazatelnyh-otrabotkah-vrachei-i-medsester.html" TargetMode="External"/><Relationship Id="rId25" Type="http://schemas.openxmlformats.org/officeDocument/2006/relationships/hyperlink" Target="https://medvestnik.ru/content/cards/Povyshenie-zarplaty-medrabotnikam-s-1-aprelya-2024-goda-komu-i-na-skolko.html?utm_source=main&amp;utm_medium=center-main-left" TargetMode="External"/><Relationship Id="rId33" Type="http://schemas.openxmlformats.org/officeDocument/2006/relationships/hyperlink" Target="https://medvestnik.ru/directory/persons/Gabai-Polina.html" TargetMode="External"/><Relationship Id="rId38" Type="http://schemas.openxmlformats.org/officeDocument/2006/relationships/hyperlink" Target="https://medvestnik.ru/content/news/Minzdrav-prodlil-srok-deistviya-bumajnyh-medknijek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edvestnik.ru/content/news/utverjdeny-rekomendacii-po-regulirovaniu-uslovii-raboty-i-oplaty-truda-nastavnikov.html" TargetMode="External"/><Relationship Id="rId41" Type="http://schemas.openxmlformats.org/officeDocument/2006/relationships/hyperlink" Target="https://tass.ru/obschestvo/27849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4781</Words>
  <Characters>28736</Characters>
  <Application>Microsoft Office Word</Application>
  <DocSecurity>0</DocSecurity>
  <Lines>449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2</cp:revision>
  <dcterms:created xsi:type="dcterms:W3CDTF">2026-06-30T13:16:00Z</dcterms:created>
  <dcterms:modified xsi:type="dcterms:W3CDTF">2026-06-30T13:16:00Z</dcterms:modified>
</cp:coreProperties>
</file>